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E425FD" w14:textId="77777777" w:rsidR="00F354CB" w:rsidRDefault="00F354CB" w:rsidP="00E35559">
      <w:pPr>
        <w:pStyle w:val="3GPPHeader"/>
        <w:spacing w:after="60"/>
      </w:pPr>
    </w:p>
    <w:p w14:paraId="596598CC" w14:textId="0D9C913C"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10</w:t>
      </w:r>
      <w:r w:rsidR="00F20F5C">
        <w:t>e</w:t>
      </w:r>
      <w:r w:rsidRPr="00CE0424">
        <w:tab/>
      </w:r>
      <w:proofErr w:type="spellStart"/>
      <w:r w:rsidRPr="00CE0424">
        <w:rPr>
          <w:sz w:val="32"/>
          <w:szCs w:val="32"/>
        </w:rPr>
        <w:t>Tdoc</w:t>
      </w:r>
      <w:proofErr w:type="spellEnd"/>
      <w:r w:rsidRPr="00CE0424">
        <w:rPr>
          <w:sz w:val="32"/>
          <w:szCs w:val="32"/>
        </w:rPr>
        <w:t xml:space="preserve"> </w:t>
      </w:r>
      <w:r w:rsidR="00B91478" w:rsidRPr="00B91478">
        <w:rPr>
          <w:sz w:val="32"/>
          <w:szCs w:val="32"/>
        </w:rPr>
        <w:t>R2-2004932</w:t>
      </w:r>
    </w:p>
    <w:p w14:paraId="29A39EA1" w14:textId="77777777" w:rsidR="00E90E49" w:rsidRPr="00CE0424" w:rsidRDefault="00C268E6" w:rsidP="00311702">
      <w:pPr>
        <w:pStyle w:val="3GPPHeader"/>
      </w:pPr>
      <w:r>
        <w:t>Electronic meeting, June 1</w:t>
      </w:r>
      <w:r w:rsidRPr="00C268E6">
        <w:rPr>
          <w:vertAlign w:val="superscript"/>
        </w:rPr>
        <w:t>st</w:t>
      </w:r>
      <w:r>
        <w:t xml:space="preserve"> – 12</w:t>
      </w:r>
      <w:r w:rsidRPr="00C268E6">
        <w:rPr>
          <w:vertAlign w:val="superscript"/>
        </w:rPr>
        <w:t>th</w:t>
      </w:r>
      <w:r>
        <w:t xml:space="preserve"> 2020</w:t>
      </w:r>
    </w:p>
    <w:p w14:paraId="05095C23" w14:textId="77777777" w:rsidR="00E90E49" w:rsidRPr="00CE0424" w:rsidRDefault="00E90E49" w:rsidP="00357380">
      <w:pPr>
        <w:pStyle w:val="3GPPHeader"/>
      </w:pPr>
    </w:p>
    <w:p w14:paraId="53204F6E" w14:textId="14AEB9B9"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711611">
        <w:rPr>
          <w:sz w:val="22"/>
          <w:szCs w:val="22"/>
        </w:rPr>
        <w:t>6.19.1 - Other</w:t>
      </w:r>
    </w:p>
    <w:p w14:paraId="199408F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F2831E2" w14:textId="4DCC8D5C" w:rsidR="00E90E49" w:rsidRPr="00FD01AC" w:rsidRDefault="003D3C45" w:rsidP="00311702">
      <w:pPr>
        <w:pStyle w:val="3GPPHeader"/>
        <w:rPr>
          <w:sz w:val="22"/>
          <w:szCs w:val="22"/>
        </w:rPr>
      </w:pPr>
      <w:r>
        <w:rPr>
          <w:sz w:val="22"/>
          <w:szCs w:val="22"/>
        </w:rPr>
        <w:t>Title:</w:t>
      </w:r>
      <w:r w:rsidR="00E90E49" w:rsidRPr="00CE0424">
        <w:rPr>
          <w:sz w:val="22"/>
          <w:szCs w:val="22"/>
        </w:rPr>
        <w:tab/>
      </w:r>
      <w:r w:rsidR="00666DAB" w:rsidRPr="00FD01AC">
        <w:rPr>
          <w:sz w:val="22"/>
          <w:szCs w:val="22"/>
        </w:rPr>
        <w:t>Discussion on MPE enhancements</w:t>
      </w:r>
    </w:p>
    <w:p w14:paraId="240EA29D" w14:textId="77777777" w:rsidR="00E90E49" w:rsidRPr="00CE0424" w:rsidRDefault="00E90E49" w:rsidP="00D546FF">
      <w:pPr>
        <w:pStyle w:val="3GPPHeader"/>
        <w:rPr>
          <w:sz w:val="22"/>
          <w:szCs w:val="22"/>
        </w:rPr>
      </w:pPr>
      <w:r w:rsidRPr="00FD01AC">
        <w:rPr>
          <w:sz w:val="22"/>
          <w:szCs w:val="22"/>
        </w:rPr>
        <w:t>Document for:</w:t>
      </w:r>
      <w:r w:rsidRPr="00FD01AC">
        <w:rPr>
          <w:sz w:val="22"/>
          <w:szCs w:val="22"/>
        </w:rPr>
        <w:tab/>
        <w:t>Discussion, Decision</w:t>
      </w:r>
    </w:p>
    <w:p w14:paraId="60813002" w14:textId="77777777" w:rsidR="00E90E49" w:rsidRPr="00CE0424" w:rsidRDefault="00E90E49" w:rsidP="00E90E49"/>
    <w:p w14:paraId="571BA7CC" w14:textId="77777777" w:rsidR="00E90E49" w:rsidRPr="00CE0424" w:rsidRDefault="00230D18" w:rsidP="00CE0424">
      <w:pPr>
        <w:pStyle w:val="Heading1"/>
      </w:pPr>
      <w:r>
        <w:t>1</w:t>
      </w:r>
      <w:r>
        <w:tab/>
      </w:r>
      <w:r w:rsidR="00E90E49" w:rsidRPr="00CE0424">
        <w:t>Introduction</w:t>
      </w:r>
    </w:p>
    <w:p w14:paraId="39B901E4" w14:textId="015F7636" w:rsidR="00F354CB" w:rsidRPr="00CE0424" w:rsidRDefault="00F354CB" w:rsidP="00CE0424">
      <w:pPr>
        <w:pStyle w:val="BodyText"/>
      </w:pPr>
      <w:r>
        <w:t xml:space="preserve">RAN2 got </w:t>
      </w:r>
      <w:proofErr w:type="gramStart"/>
      <w:r>
        <w:t>an</w:t>
      </w:r>
      <w:proofErr w:type="gramEnd"/>
      <w:r>
        <w:t xml:space="preserve"> LS from RAN4 where they request RAN2 to specify RAN2 aspects of MPE.</w:t>
      </w:r>
    </w:p>
    <w:p w14:paraId="5718F493" w14:textId="6ADD5D21" w:rsidR="004000E8" w:rsidRDefault="00230D18" w:rsidP="00CE0424">
      <w:pPr>
        <w:pStyle w:val="Heading1"/>
      </w:pPr>
      <w:bookmarkStart w:id="0" w:name="_Ref178064866"/>
      <w:r>
        <w:t>2</w:t>
      </w:r>
      <w:r>
        <w:tab/>
      </w:r>
      <w:r w:rsidR="004000E8" w:rsidRPr="00CE0424">
        <w:t>Discussion</w:t>
      </w:r>
      <w:bookmarkEnd w:id="0"/>
    </w:p>
    <w:p w14:paraId="494ABD23" w14:textId="7BB42C77" w:rsidR="00F354CB" w:rsidRDefault="00F354CB" w:rsidP="003103E1">
      <w:pPr>
        <w:pStyle w:val="BodyText"/>
      </w:pPr>
      <w:r>
        <w:t xml:space="preserve">RAN2 got this LS-text in </w:t>
      </w:r>
      <w:r w:rsidRPr="00F354CB">
        <w:t>R4-2005670</w:t>
      </w:r>
      <w:r>
        <w:t>:</w:t>
      </w:r>
    </w:p>
    <w:tbl>
      <w:tblPr>
        <w:tblStyle w:val="TableGrid"/>
        <w:tblW w:w="0" w:type="auto"/>
        <w:tblInd w:w="704" w:type="dxa"/>
        <w:tblLook w:val="04A0" w:firstRow="1" w:lastRow="0" w:firstColumn="1" w:lastColumn="0" w:noHBand="0" w:noVBand="1"/>
      </w:tblPr>
      <w:tblGrid>
        <w:gridCol w:w="8222"/>
      </w:tblGrid>
      <w:tr w:rsidR="00F354CB" w14:paraId="038619D4" w14:textId="77777777" w:rsidTr="00666DAB">
        <w:tc>
          <w:tcPr>
            <w:tcW w:w="8222" w:type="dxa"/>
          </w:tcPr>
          <w:p w14:paraId="4A999AC1" w14:textId="77777777" w:rsidR="00F354CB" w:rsidRPr="000F4E43" w:rsidRDefault="00F354CB" w:rsidP="00F354CB">
            <w:pPr>
              <w:spacing w:after="120"/>
              <w:rPr>
                <w:rFonts w:ascii="Arial" w:hAnsi="Arial" w:cs="Arial"/>
                <w:b/>
              </w:rPr>
            </w:pPr>
            <w:r w:rsidRPr="000F4E43">
              <w:rPr>
                <w:rFonts w:ascii="Arial" w:hAnsi="Arial" w:cs="Arial"/>
                <w:b/>
              </w:rPr>
              <w:t>1. Overall Description:</w:t>
            </w:r>
          </w:p>
          <w:p w14:paraId="01D2B58F" w14:textId="77777777" w:rsidR="00F354CB" w:rsidRPr="009652CD" w:rsidRDefault="00F354CB" w:rsidP="00F354CB">
            <w:pPr>
              <w:rPr>
                <w:rFonts w:ascii="Arial" w:hAnsi="Arial" w:cs="Arial"/>
              </w:rPr>
            </w:pPr>
            <w:r w:rsidRPr="00934E52">
              <w:rPr>
                <w:rFonts w:ascii="Arial" w:hAnsi="Arial" w:cs="Arial"/>
              </w:rPr>
              <w:t xml:space="preserve">RAN4 has </w:t>
            </w:r>
            <w:r>
              <w:rPr>
                <w:rFonts w:ascii="Arial" w:hAnsi="Arial" w:cs="Arial"/>
              </w:rPr>
              <w:t>agreed further details on the Rel-</w:t>
            </w:r>
            <w:r w:rsidRPr="009652CD">
              <w:rPr>
                <w:rFonts w:ascii="Arial" w:hAnsi="Arial" w:cs="Arial"/>
              </w:rPr>
              <w:t>16 FR2 MPE enhancement</w:t>
            </w:r>
            <w:r>
              <w:rPr>
                <w:rFonts w:ascii="Arial" w:hAnsi="Arial" w:cs="Arial"/>
              </w:rPr>
              <w:t xml:space="preserve"> signalling, which is used</w:t>
            </w:r>
            <w:r w:rsidRPr="009652CD">
              <w:rPr>
                <w:rFonts w:ascii="Arial" w:hAnsi="Arial" w:cs="Arial"/>
              </w:rPr>
              <w:t xml:space="preserve"> to mitigate RLF due to sudden and unpredictable large back off caused UE’s actions to ensure compliance with </w:t>
            </w:r>
            <w:r>
              <w:rPr>
                <w:rFonts w:ascii="Arial" w:hAnsi="Arial" w:cs="Arial"/>
              </w:rPr>
              <w:t>MPE</w:t>
            </w:r>
            <w:r w:rsidRPr="009652CD">
              <w:rPr>
                <w:rFonts w:ascii="Arial" w:hAnsi="Arial" w:cs="Arial"/>
              </w:rPr>
              <w:t xml:space="preserve"> regulation.</w:t>
            </w:r>
          </w:p>
          <w:p w14:paraId="0B8BE174" w14:textId="77777777" w:rsidR="00F354CB" w:rsidRDefault="00F354CB" w:rsidP="00F354CB">
            <w:pPr>
              <w:rPr>
                <w:rFonts w:ascii="Arial" w:hAnsi="Arial" w:cs="Arial"/>
              </w:rPr>
            </w:pPr>
          </w:p>
          <w:p w14:paraId="1054E2F5" w14:textId="77777777" w:rsidR="00F354CB" w:rsidRDefault="00F354CB" w:rsidP="00F354CB">
            <w:pPr>
              <w:rPr>
                <w:rFonts w:ascii="Arial" w:hAnsi="Arial" w:cs="Arial"/>
              </w:rPr>
            </w:pPr>
            <w:r>
              <w:rPr>
                <w:rFonts w:ascii="Arial" w:hAnsi="Arial" w:cs="Arial"/>
              </w:rPr>
              <w:t>In addition to the previous details provided for the Rel-</w:t>
            </w:r>
            <w:r w:rsidRPr="009652CD">
              <w:rPr>
                <w:rFonts w:ascii="Arial" w:hAnsi="Arial" w:cs="Arial"/>
              </w:rPr>
              <w:t>16 FR2 MPE enhancement</w:t>
            </w:r>
            <w:r>
              <w:rPr>
                <w:rFonts w:ascii="Arial" w:hAnsi="Arial" w:cs="Arial"/>
              </w:rPr>
              <w:t xml:space="preserve"> signalling RAN4</w:t>
            </w:r>
            <w:r w:rsidRPr="00421C33">
              <w:rPr>
                <w:rFonts w:ascii="Arial" w:hAnsi="Arial" w:cs="Arial"/>
              </w:rPr>
              <w:t xml:space="preserve"> </w:t>
            </w:r>
            <w:r>
              <w:rPr>
                <w:rFonts w:ascii="Arial" w:hAnsi="Arial" w:cs="Arial"/>
              </w:rPr>
              <w:t>would like to</w:t>
            </w:r>
            <w:r w:rsidRPr="00421C33">
              <w:rPr>
                <w:rFonts w:ascii="Arial" w:hAnsi="Arial" w:cs="Arial"/>
              </w:rPr>
              <w:t xml:space="preserve"> </w:t>
            </w:r>
            <w:r>
              <w:rPr>
                <w:rFonts w:ascii="Arial" w:hAnsi="Arial" w:cs="Arial"/>
              </w:rPr>
              <w:t>ask</w:t>
            </w:r>
            <w:r w:rsidRPr="00421C33">
              <w:rPr>
                <w:rFonts w:ascii="Arial" w:hAnsi="Arial" w:cs="Arial"/>
              </w:rPr>
              <w:t xml:space="preserve"> RAN2</w:t>
            </w:r>
            <w:r>
              <w:rPr>
                <w:rFonts w:ascii="Arial" w:hAnsi="Arial" w:cs="Arial"/>
              </w:rPr>
              <w:t xml:space="preserve"> to take the following additional details into account when developing MAC-CE based signalling for the FR2 MPE enhancements:</w:t>
            </w:r>
          </w:p>
          <w:p w14:paraId="239383DF" w14:textId="77777777" w:rsidR="00F354CB" w:rsidRPr="00D73A3B" w:rsidRDefault="00F354CB" w:rsidP="00F354CB">
            <w:pPr>
              <w:numPr>
                <w:ilvl w:val="0"/>
                <w:numId w:val="23"/>
              </w:numPr>
              <w:overflowPunct/>
              <w:autoSpaceDE/>
              <w:autoSpaceDN/>
              <w:adjustRightInd/>
              <w:spacing w:after="0"/>
              <w:textAlignment w:val="auto"/>
              <w:rPr>
                <w:rFonts w:ascii="Arial" w:hAnsi="Arial" w:cs="Arial"/>
              </w:rPr>
            </w:pPr>
            <w:r w:rsidRPr="006D3134">
              <w:rPr>
                <w:rFonts w:ascii="Arial" w:hAnsi="Arial" w:cs="Arial"/>
              </w:rPr>
              <w:t xml:space="preserve">Network configured threshold for event-triggered FR2 MPE P-MPR reporting is defined based P-MPR being higher than a configurable threshold. </w:t>
            </w:r>
            <w:r w:rsidRPr="00825521">
              <w:rPr>
                <w:rFonts w:ascii="Arial" w:hAnsi="Arial" w:cs="Arial"/>
              </w:rPr>
              <w:t>Whether an additionally relative threshold will be defined is still under discussion in RAN4 and RAN4 will inform RAN2 the outcome in the following meeting</w:t>
            </w:r>
          </w:p>
          <w:p w14:paraId="6D36D96A" w14:textId="77777777" w:rsidR="00F354CB" w:rsidRDefault="00F354CB" w:rsidP="00F354CB">
            <w:pPr>
              <w:numPr>
                <w:ilvl w:val="0"/>
                <w:numId w:val="23"/>
              </w:numPr>
              <w:overflowPunct/>
              <w:autoSpaceDE/>
              <w:autoSpaceDN/>
              <w:adjustRightInd/>
              <w:spacing w:after="0"/>
              <w:textAlignment w:val="auto"/>
              <w:rPr>
                <w:rFonts w:ascii="Arial" w:hAnsi="Arial" w:cs="Arial"/>
              </w:rPr>
            </w:pPr>
            <w:r>
              <w:rPr>
                <w:rFonts w:ascii="Arial" w:hAnsi="Arial" w:cs="Arial"/>
              </w:rPr>
              <w:t xml:space="preserve">P-MPR reporting range and reporting granularity will be defined in the next RAN4 meeting using </w:t>
            </w:r>
            <w:r w:rsidRPr="002F07F4">
              <w:rPr>
                <w:rFonts w:ascii="Arial" w:hAnsi="Arial" w:cs="Arial"/>
              </w:rPr>
              <w:t>[2…5]</w:t>
            </w:r>
            <w:r>
              <w:rPr>
                <w:rFonts w:ascii="Arial" w:hAnsi="Arial" w:cs="Arial"/>
              </w:rPr>
              <w:t xml:space="preserve"> bits. RAN4 will inform RAN2 the exact reporting range and reporting granularity in its next meeting. </w:t>
            </w:r>
          </w:p>
          <w:p w14:paraId="6C3FA011" w14:textId="77777777" w:rsidR="00F354CB" w:rsidRPr="001577C5" w:rsidRDefault="00F354CB" w:rsidP="00F354CB">
            <w:pPr>
              <w:numPr>
                <w:ilvl w:val="0"/>
                <w:numId w:val="23"/>
              </w:numPr>
              <w:overflowPunct/>
              <w:autoSpaceDE/>
              <w:autoSpaceDN/>
              <w:adjustRightInd/>
              <w:spacing w:after="0"/>
              <w:textAlignment w:val="auto"/>
              <w:rPr>
                <w:rFonts w:ascii="Arial" w:hAnsi="Arial" w:cs="Arial"/>
              </w:rPr>
            </w:pPr>
            <w:r w:rsidRPr="001577C5">
              <w:rPr>
                <w:rFonts w:ascii="Arial" w:hAnsi="Arial" w:cs="Arial"/>
              </w:rPr>
              <w:t xml:space="preserve">P-MPR is reported by the UE after or on the grant and the exact details are up to UE implementation. </w:t>
            </w:r>
          </w:p>
          <w:p w14:paraId="5FECABA1" w14:textId="77777777" w:rsidR="00F354CB" w:rsidRDefault="00F354CB" w:rsidP="00F354CB">
            <w:pPr>
              <w:rPr>
                <w:rFonts w:ascii="Arial" w:hAnsi="Arial" w:cs="Arial"/>
              </w:rPr>
            </w:pPr>
          </w:p>
          <w:p w14:paraId="15811848" w14:textId="77777777" w:rsidR="00F354CB" w:rsidRPr="000F4E43" w:rsidRDefault="00F354CB" w:rsidP="00F354CB">
            <w:pPr>
              <w:rPr>
                <w:rFonts w:ascii="Arial" w:hAnsi="Arial" w:cs="Arial"/>
              </w:rPr>
            </w:pPr>
          </w:p>
          <w:p w14:paraId="148D3F00" w14:textId="77777777" w:rsidR="00F354CB" w:rsidRPr="000F4E43" w:rsidRDefault="00F354CB" w:rsidP="00F354CB">
            <w:pPr>
              <w:spacing w:after="120"/>
              <w:rPr>
                <w:rFonts w:ascii="Arial" w:hAnsi="Arial" w:cs="Arial"/>
                <w:b/>
              </w:rPr>
            </w:pPr>
            <w:r w:rsidRPr="000F4E43">
              <w:rPr>
                <w:rFonts w:ascii="Arial" w:hAnsi="Arial" w:cs="Arial"/>
                <w:b/>
              </w:rPr>
              <w:t>2. Actions:</w:t>
            </w:r>
          </w:p>
          <w:p w14:paraId="09B6A95C" w14:textId="77777777" w:rsidR="00F354CB" w:rsidRPr="000F4E43" w:rsidRDefault="00F354CB" w:rsidP="00F354CB">
            <w:pPr>
              <w:spacing w:after="120"/>
              <w:ind w:left="1985" w:hanging="1985"/>
              <w:rPr>
                <w:rFonts w:ascii="Arial" w:hAnsi="Arial" w:cs="Arial"/>
                <w:b/>
              </w:rPr>
            </w:pPr>
            <w:r w:rsidRPr="000F4E43">
              <w:rPr>
                <w:rFonts w:ascii="Arial" w:hAnsi="Arial" w:cs="Arial"/>
                <w:b/>
              </w:rPr>
              <w:t xml:space="preserve">To </w:t>
            </w:r>
            <w:r w:rsidRPr="0037055C">
              <w:rPr>
                <w:rFonts w:ascii="Arial" w:hAnsi="Arial" w:cs="Arial"/>
                <w:b/>
              </w:rPr>
              <w:t>RAN WG2 group.</w:t>
            </w:r>
          </w:p>
          <w:p w14:paraId="3F8BF767" w14:textId="77777777" w:rsidR="00F354CB" w:rsidRPr="0037055C" w:rsidRDefault="00F354CB" w:rsidP="00F354CB">
            <w:pPr>
              <w:spacing w:after="120"/>
              <w:ind w:left="993" w:hanging="993"/>
              <w:rPr>
                <w:rFonts w:ascii="Arial" w:hAnsi="Arial" w:cs="Arial"/>
              </w:rPr>
            </w:pPr>
            <w:r w:rsidRPr="000F4E43">
              <w:rPr>
                <w:rFonts w:ascii="Arial" w:hAnsi="Arial" w:cs="Arial"/>
                <w:b/>
              </w:rPr>
              <w:lastRenderedPageBreak/>
              <w:t xml:space="preserve">ACTION: </w:t>
            </w:r>
            <w:r w:rsidRPr="000F4E43">
              <w:rPr>
                <w:rFonts w:ascii="Arial" w:hAnsi="Arial" w:cs="Arial"/>
                <w:b/>
              </w:rPr>
              <w:tab/>
            </w:r>
            <w:r w:rsidRPr="0037055C">
              <w:rPr>
                <w:rFonts w:ascii="Arial" w:hAnsi="Arial" w:cs="Arial"/>
              </w:rPr>
              <w:t>RAN4 asks RAN2 group to</w:t>
            </w:r>
            <w:r>
              <w:rPr>
                <w:rFonts w:ascii="Arial" w:hAnsi="Arial" w:cs="Arial"/>
              </w:rPr>
              <w:t xml:space="preserve"> take the above-mentioned information into account when defining Rel-16 FR2 MPE signalling</w:t>
            </w:r>
          </w:p>
          <w:p w14:paraId="619DF327" w14:textId="77777777" w:rsidR="00F354CB" w:rsidRDefault="00F354CB" w:rsidP="00F354CB"/>
        </w:tc>
      </w:tr>
    </w:tbl>
    <w:p w14:paraId="1FCBB229" w14:textId="77777777" w:rsidR="00F354CB" w:rsidRPr="00F354CB" w:rsidRDefault="00F354CB" w:rsidP="00F354CB"/>
    <w:p w14:paraId="319A508B" w14:textId="44AC0AD6" w:rsidR="00F354CB" w:rsidRDefault="00F354CB" w:rsidP="00F354CB">
      <w:pPr>
        <w:pStyle w:val="Heading2"/>
      </w:pPr>
      <w:r>
        <w:t>2.1</w:t>
      </w:r>
      <w:r>
        <w:tab/>
        <w:t>What is "MPE"?</w:t>
      </w:r>
    </w:p>
    <w:p w14:paraId="5C4B5D15" w14:textId="2B517DBA" w:rsidR="00F354CB" w:rsidRDefault="00F354CB" w:rsidP="003103E1">
      <w:pPr>
        <w:pStyle w:val="BodyText"/>
      </w:pPr>
      <w:r>
        <w:t xml:space="preserve">To a RAN2-person the MPE-feature can be summarized as follows. There are regulatory requirements </w:t>
      </w:r>
      <w:proofErr w:type="spellStart"/>
      <w:r>
        <w:t>w.r.t.</w:t>
      </w:r>
      <w:proofErr w:type="spellEnd"/>
      <w:r>
        <w:t xml:space="preserve"> how much output power a UE can use. These requirements </w:t>
      </w:r>
      <w:r w:rsidR="00D40B4E">
        <w:t>depend for example on the distance to a human body</w:t>
      </w:r>
      <w:r w:rsidR="008B3AFC">
        <w:t>:</w:t>
      </w:r>
      <w:r w:rsidR="00D40B4E">
        <w:t xml:space="preserve"> </w:t>
      </w:r>
      <w:r w:rsidR="008B3AFC">
        <w:t>i</w:t>
      </w:r>
      <w:r w:rsidR="00D40B4E">
        <w:t xml:space="preserve">f a user is very close to the antenna the UE </w:t>
      </w:r>
      <w:proofErr w:type="gramStart"/>
      <w:r w:rsidR="00D40B4E">
        <w:t>has to</w:t>
      </w:r>
      <w:proofErr w:type="gramEnd"/>
      <w:r w:rsidR="00D40B4E">
        <w:t xml:space="preserve"> reduce the output power it uses to ensure that the amount of energy exposed to the </w:t>
      </w:r>
      <w:r w:rsidR="008B3AFC">
        <w:t xml:space="preserve">human </w:t>
      </w:r>
      <w:r w:rsidR="00D40B4E">
        <w:t>body is below a certain limit.</w:t>
      </w:r>
    </w:p>
    <w:p w14:paraId="7AD867D9" w14:textId="1D6B88F0" w:rsidR="00D40B4E" w:rsidRDefault="00D40B4E" w:rsidP="003103E1">
      <w:pPr>
        <w:pStyle w:val="BodyText"/>
      </w:pPr>
      <w:r>
        <w:t xml:space="preserve">When the UE performs this type of </w:t>
      </w:r>
      <w:proofErr w:type="spellStart"/>
      <w:r>
        <w:t>backoff</w:t>
      </w:r>
      <w:proofErr w:type="spellEnd"/>
      <w:r>
        <w:t xml:space="preserve"> the communication with the network would be impacted</w:t>
      </w:r>
      <w:r w:rsidR="008B3AFC">
        <w:t xml:space="preserve"> since the amount of available output power of the UE is </w:t>
      </w:r>
      <w:r w:rsidR="00F04885">
        <w:t>reduced, and</w:t>
      </w:r>
      <w:r w:rsidR="008B3AFC">
        <w:t xml:space="preserve"> the </w:t>
      </w:r>
      <w:proofErr w:type="spellStart"/>
      <w:r>
        <w:t>gNB</w:t>
      </w:r>
      <w:proofErr w:type="spellEnd"/>
      <w:r>
        <w:t xml:space="preserve"> needs to know how much power is available in the UE so it can decide a suitable number of resource blocks to schedule the UE on</w:t>
      </w:r>
      <w:r w:rsidR="008B3AFC">
        <w:t>, etc.</w:t>
      </w:r>
    </w:p>
    <w:p w14:paraId="5D1EF44E" w14:textId="6C00FDF4" w:rsidR="00D40B4E" w:rsidRDefault="00D40B4E" w:rsidP="003103E1">
      <w:pPr>
        <w:pStyle w:val="BodyText"/>
      </w:pPr>
      <w:r>
        <w:t xml:space="preserve">The amount of </w:t>
      </w:r>
      <w:r w:rsidR="008B3AFC">
        <w:t xml:space="preserve">power available by </w:t>
      </w:r>
      <w:r>
        <w:t xml:space="preserve">the UE is however already </w:t>
      </w:r>
      <w:r w:rsidR="008B3AFC">
        <w:t xml:space="preserve">reported to the </w:t>
      </w:r>
      <w:proofErr w:type="spellStart"/>
      <w:r w:rsidR="008B3AFC">
        <w:t>gNB</w:t>
      </w:r>
      <w:proofErr w:type="spellEnd"/>
      <w:r w:rsidR="008B3AFC">
        <w:t xml:space="preserve"> in the </w:t>
      </w:r>
      <w:r>
        <w:t xml:space="preserve">PHR MAC CE </w:t>
      </w:r>
      <w:r w:rsidR="008B3AFC">
        <w:t xml:space="preserve">(the </w:t>
      </w:r>
      <w:proofErr w:type="spellStart"/>
      <w:proofErr w:type="gramStart"/>
      <w:r w:rsidR="008B3AFC" w:rsidRPr="005174E9">
        <w:t>P</w:t>
      </w:r>
      <w:r w:rsidR="008B3AFC" w:rsidRPr="003103E1">
        <w:t>CMAX,f</w:t>
      </w:r>
      <w:proofErr w:type="gramEnd"/>
      <w:r w:rsidR="008B3AFC" w:rsidRPr="003103E1">
        <w:t>,c</w:t>
      </w:r>
      <w:proofErr w:type="spellEnd"/>
      <w:r w:rsidR="008B3AFC" w:rsidRPr="005174E9">
        <w:t xml:space="preserve"> </w:t>
      </w:r>
      <w:r w:rsidR="008B3AFC">
        <w:t>field)</w:t>
      </w:r>
      <w:r>
        <w:t xml:space="preserve">. </w:t>
      </w:r>
      <w:r w:rsidR="008B3AFC">
        <w:t xml:space="preserve">The only </w:t>
      </w:r>
      <w:r w:rsidR="00F04885">
        <w:t>thing</w:t>
      </w:r>
      <w:r w:rsidR="008B3AFC">
        <w:t xml:space="preserve"> which is not known to the </w:t>
      </w:r>
      <w:proofErr w:type="spellStart"/>
      <w:r>
        <w:t>gNB</w:t>
      </w:r>
      <w:proofErr w:type="spellEnd"/>
      <w:r>
        <w:t xml:space="preserve"> from the </w:t>
      </w:r>
      <w:r w:rsidR="008B3AFC">
        <w:t xml:space="preserve">current </w:t>
      </w:r>
      <w:r>
        <w:t xml:space="preserve">PHR MAC CE alone </w:t>
      </w:r>
      <w:r w:rsidR="008B3AFC">
        <w:t xml:space="preserve">is </w:t>
      </w:r>
      <w:r w:rsidRPr="003103E1">
        <w:t>why</w:t>
      </w:r>
      <w:r>
        <w:t xml:space="preserve"> the UE </w:t>
      </w:r>
      <w:r w:rsidR="008B3AFC">
        <w:t>now has less power available</w:t>
      </w:r>
      <w:r>
        <w:t>.</w:t>
      </w:r>
    </w:p>
    <w:p w14:paraId="7F312A97" w14:textId="77344642" w:rsidR="008B3AFC" w:rsidRDefault="00D40B4E" w:rsidP="003103E1">
      <w:pPr>
        <w:pStyle w:val="BodyText"/>
      </w:pPr>
      <w:r>
        <w:t xml:space="preserve">What RAN4 has requested RAN2 to introduce is MAC signalling to allow the UE to indicate how </w:t>
      </w:r>
      <w:r w:rsidR="008B3AFC">
        <w:t xml:space="preserve">much </w:t>
      </w:r>
      <w:r>
        <w:t xml:space="preserve">back off </w:t>
      </w:r>
      <w:r w:rsidR="008B3AFC">
        <w:t xml:space="preserve">the UE has applied </w:t>
      </w:r>
      <w:r>
        <w:t>due to MPE-reasons.</w:t>
      </w:r>
      <w:r w:rsidR="008B3AFC">
        <w:t xml:space="preserve"> It has not been clearly indicated by RAN4 what the </w:t>
      </w:r>
      <w:proofErr w:type="spellStart"/>
      <w:r w:rsidR="008B3AFC">
        <w:t>gNB</w:t>
      </w:r>
      <w:proofErr w:type="spellEnd"/>
      <w:r w:rsidR="008B3AFC">
        <w:t xml:space="preserve"> should do with this information though.</w:t>
      </w:r>
    </w:p>
    <w:p w14:paraId="4BEB8B5C" w14:textId="2DFFD070" w:rsidR="00F354CB" w:rsidRDefault="002624F2" w:rsidP="00F354CB">
      <w:pPr>
        <w:pStyle w:val="Heading2"/>
      </w:pPr>
      <w:r>
        <w:t>2.2</w:t>
      </w:r>
      <w:r>
        <w:tab/>
      </w:r>
      <w:r w:rsidR="00F354CB">
        <w:t>New MAC CE or reuse PHR</w:t>
      </w:r>
      <w:r>
        <w:t>?</w:t>
      </w:r>
    </w:p>
    <w:p w14:paraId="21BE30E6" w14:textId="7C83F1A0" w:rsidR="00F354CB" w:rsidRDefault="00F354CB" w:rsidP="003103E1">
      <w:pPr>
        <w:pStyle w:val="BodyText"/>
      </w:pPr>
      <w:r>
        <w:t xml:space="preserve">RAN4 indicated that the range </w:t>
      </w:r>
      <w:r w:rsidR="00F04885">
        <w:t xml:space="preserve">and granularity </w:t>
      </w:r>
      <w:r>
        <w:t xml:space="preserve">of the P-MRP </w:t>
      </w:r>
      <w:r w:rsidR="00F04885">
        <w:t>may require 2-5 bits</w:t>
      </w:r>
      <w:r>
        <w:t>.</w:t>
      </w:r>
      <w:r w:rsidR="002624F2">
        <w:t xml:space="preserve"> Exact number is still FFS.</w:t>
      </w:r>
    </w:p>
    <w:p w14:paraId="0F3B8AD3" w14:textId="77777777" w:rsidR="00FB4534" w:rsidRDefault="002624F2" w:rsidP="003103E1">
      <w:pPr>
        <w:pStyle w:val="BodyText"/>
      </w:pPr>
      <w:r>
        <w:t xml:space="preserve">If RAN4 were to agree that 2 bits is </w:t>
      </w:r>
      <w:r w:rsidR="00FB4534">
        <w:t>enough</w:t>
      </w:r>
      <w:r w:rsidR="00F04885">
        <w:t xml:space="preserve"> it</w:t>
      </w:r>
      <w:r>
        <w:t xml:space="preserve"> would be possible to fit the new field in the existing PHR MAC CE</w:t>
      </w:r>
      <w:r w:rsidR="00810229">
        <w:t>s</w:t>
      </w:r>
      <w:r>
        <w:t xml:space="preserve"> since there are two R-bits available</w:t>
      </w:r>
      <w:r w:rsidR="0058678E">
        <w:t>.</w:t>
      </w:r>
    </w:p>
    <w:p w14:paraId="351A35EC" w14:textId="62D87864" w:rsidR="002624F2" w:rsidRDefault="0058678E" w:rsidP="003103E1">
      <w:pPr>
        <w:pStyle w:val="BodyText"/>
      </w:pPr>
      <w:r>
        <w:t>N</w:t>
      </w:r>
      <w:r w:rsidR="007B71C7">
        <w:t>ote</w:t>
      </w:r>
      <w:r w:rsidR="00FB4534">
        <w:t xml:space="preserve">: </w:t>
      </w:r>
      <w:r w:rsidR="007B71C7">
        <w:t xml:space="preserve">in RAN2#109bis it was agreed to use one of the R-bits in the first octet in </w:t>
      </w:r>
      <w:r w:rsidR="00F97E75">
        <w:t xml:space="preserve">the single-entry PHR </w:t>
      </w:r>
      <w:r w:rsidR="007B71C7">
        <w:t>MAC CE to use as P-bit</w:t>
      </w:r>
      <w:r w:rsidR="00F97E75">
        <w:t>.</w:t>
      </w:r>
    </w:p>
    <w:p w14:paraId="1A78CEC8" w14:textId="0B8E3789" w:rsidR="002624F2" w:rsidRPr="00F97E75" w:rsidRDefault="00F97E75" w:rsidP="00F97E75">
      <w:pPr>
        <w:jc w:val="center"/>
        <w:rPr>
          <w:b/>
          <w:bCs/>
        </w:rPr>
      </w:pPr>
      <w:r w:rsidRPr="00F97E75">
        <w:rPr>
          <w:b/>
          <w:bCs/>
        </w:rPr>
        <w:t>Single-entry PHR MAC CE</w:t>
      </w:r>
    </w:p>
    <w:p w14:paraId="15A41C0F" w14:textId="29C6457A" w:rsidR="002624F2" w:rsidRDefault="002624F2" w:rsidP="002624F2">
      <w:pPr>
        <w:pStyle w:val="TH"/>
      </w:pPr>
      <w:r w:rsidRPr="005174E9">
        <w:object w:dxaOrig="4572" w:dyaOrig="1597" w14:anchorId="047EF5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8pt;height:79.6pt" o:ole="">
            <v:imagedata r:id="rId11" o:title=""/>
          </v:shape>
          <o:OLEObject Type="Embed" ProgID="Visio.Drawing.15" ShapeID="_x0000_i1025" DrawAspect="Content" ObjectID="_1651560322" r:id="rId12"/>
        </w:object>
      </w:r>
    </w:p>
    <w:p w14:paraId="1BBDAFBB" w14:textId="0FC7EA40" w:rsidR="00F97E75" w:rsidRPr="00F97E75" w:rsidRDefault="00F97E75" w:rsidP="00F97E75">
      <w:pPr>
        <w:jc w:val="center"/>
        <w:rPr>
          <w:b/>
          <w:bCs/>
        </w:rPr>
      </w:pPr>
      <w:r>
        <w:rPr>
          <w:b/>
          <w:bCs/>
        </w:rPr>
        <w:t>Multi</w:t>
      </w:r>
      <w:r w:rsidRPr="00F97E75">
        <w:rPr>
          <w:b/>
          <w:bCs/>
        </w:rPr>
        <w:t>-entry PHR MAC CE</w:t>
      </w:r>
    </w:p>
    <w:p w14:paraId="22CC1D70" w14:textId="77777777" w:rsidR="00F97E75" w:rsidRDefault="00F97E75" w:rsidP="00F97E75">
      <w:pPr>
        <w:pStyle w:val="TH"/>
        <w:rPr>
          <w:lang w:eastAsia="ko-KR"/>
        </w:rPr>
      </w:pPr>
      <w:r>
        <w:rPr>
          <w:rFonts w:eastAsia="Malgun Gothic"/>
          <w:lang w:val="en-GB" w:eastAsia="en-US"/>
        </w:rPr>
        <w:object w:dxaOrig="4572" w:dyaOrig="6132" w14:anchorId="31D711A1">
          <v:shape id="_x0000_i1026" type="#_x0000_t75" style="width:228.8pt;height:306.8pt" o:ole="">
            <v:imagedata r:id="rId13" o:title=""/>
          </v:shape>
          <o:OLEObject Type="Embed" ProgID="Visio.Drawing.15" ShapeID="_x0000_i1026" DrawAspect="Content" ObjectID="_1651560323" r:id="rId14"/>
        </w:object>
      </w:r>
    </w:p>
    <w:p w14:paraId="79D66659" w14:textId="753DF904" w:rsidR="002624F2" w:rsidRDefault="002624F2" w:rsidP="002624F2">
      <w:pPr>
        <w:pStyle w:val="Observation"/>
      </w:pPr>
      <w:bookmarkStart w:id="1" w:name="_Toc40946701"/>
      <w:r>
        <w:t>The PHR MAC CE could fit the MPE-report if it is 2 bits.</w:t>
      </w:r>
      <w:bookmarkEnd w:id="1"/>
    </w:p>
    <w:p w14:paraId="618719CC" w14:textId="77777777" w:rsidR="002624F2" w:rsidRDefault="002624F2" w:rsidP="003B64BB"/>
    <w:p w14:paraId="68A7B2B0" w14:textId="407D613E" w:rsidR="002624F2" w:rsidRDefault="002624F2" w:rsidP="003103E1">
      <w:pPr>
        <w:pStyle w:val="BodyText"/>
      </w:pPr>
      <w:r>
        <w:t xml:space="preserve">RAN4 says that there should be a network configured threshold for event-triggered MPE reporting. Fortunately, current procedures already </w:t>
      </w:r>
      <w:proofErr w:type="gramStart"/>
      <w:r>
        <w:t>triggers</w:t>
      </w:r>
      <w:proofErr w:type="gramEnd"/>
      <w:r>
        <w:t xml:space="preserve"> a UE to send a PHR MAC CE when the </w:t>
      </w:r>
      <w:proofErr w:type="spellStart"/>
      <w:r>
        <w:t>backoff</w:t>
      </w:r>
      <w:proofErr w:type="spellEnd"/>
      <w:r>
        <w:t xml:space="preserve"> applied by the UE changes by more than a threshold. From 38.321:</w:t>
      </w:r>
    </w:p>
    <w:tbl>
      <w:tblPr>
        <w:tblStyle w:val="TableGrid"/>
        <w:tblW w:w="0" w:type="auto"/>
        <w:tblInd w:w="421" w:type="dxa"/>
        <w:tblLook w:val="04A0" w:firstRow="1" w:lastRow="0" w:firstColumn="1" w:lastColumn="0" w:noHBand="0" w:noVBand="1"/>
      </w:tblPr>
      <w:tblGrid>
        <w:gridCol w:w="8788"/>
      </w:tblGrid>
      <w:tr w:rsidR="002624F2" w14:paraId="31E3725C" w14:textId="77777777" w:rsidTr="00FB4534">
        <w:tc>
          <w:tcPr>
            <w:tcW w:w="8788" w:type="dxa"/>
          </w:tcPr>
          <w:p w14:paraId="7DA701DE" w14:textId="77777777" w:rsidR="002624F2" w:rsidRPr="005174E9" w:rsidRDefault="002624F2" w:rsidP="002624F2">
            <w:pPr>
              <w:rPr>
                <w:noProof/>
              </w:rPr>
            </w:pPr>
            <w:r w:rsidRPr="002624F2">
              <w:rPr>
                <w:noProof/>
                <w:highlight w:val="yellow"/>
              </w:rPr>
              <w:t>A Power Headroom Report (PHR) shall be triggered if any of the following events occur:</w:t>
            </w:r>
          </w:p>
          <w:p w14:paraId="0AFFA8AC" w14:textId="77777777" w:rsidR="002624F2" w:rsidRPr="005174E9" w:rsidRDefault="002624F2" w:rsidP="002624F2">
            <w:pPr>
              <w:pStyle w:val="B1"/>
              <w:rPr>
                <w:noProof/>
                <w:lang w:eastAsia="ko-KR"/>
              </w:rPr>
            </w:pPr>
            <w:r w:rsidRPr="005174E9">
              <w:rPr>
                <w:noProof/>
              </w:rPr>
              <w:t>-</w:t>
            </w:r>
            <w:r w:rsidRPr="005174E9">
              <w:rPr>
                <w:noProof/>
              </w:rPr>
              <w:tab/>
            </w:r>
            <w:r w:rsidRPr="005174E9">
              <w:rPr>
                <w:i/>
                <w:noProof/>
              </w:rPr>
              <w:t>p</w:t>
            </w:r>
            <w:r w:rsidRPr="005174E9">
              <w:rPr>
                <w:i/>
                <w:noProof/>
                <w:lang w:eastAsia="ko-KR"/>
              </w:rPr>
              <w:t>hr-P</w:t>
            </w:r>
            <w:r w:rsidRPr="005174E9">
              <w:rPr>
                <w:i/>
                <w:noProof/>
              </w:rPr>
              <w:t>rohibitTimer</w:t>
            </w:r>
            <w:r w:rsidRPr="005174E9">
              <w:rPr>
                <w:noProof/>
              </w:rPr>
              <w:t xml:space="preserve"> expires or has expired and the path loss has changed more than </w:t>
            </w:r>
            <w:r w:rsidRPr="005174E9">
              <w:rPr>
                <w:i/>
              </w:rPr>
              <w:t>phr-Tx-PowerFactorChange</w:t>
            </w:r>
            <w:r w:rsidRPr="005174E9">
              <w:rPr>
                <w:noProof/>
              </w:rPr>
              <w:t xml:space="preserve"> dB for at least one activated Serving Cell of any MAC entity which is used as a pathloss reference since the last transmission of a PHR in this MAC entity when the MAC entity has UL resources for new transmission;</w:t>
            </w:r>
          </w:p>
          <w:p w14:paraId="0CF68E40" w14:textId="77777777" w:rsidR="002624F2" w:rsidRPr="005174E9" w:rsidRDefault="002624F2" w:rsidP="002624F2">
            <w:pPr>
              <w:pStyle w:val="NO"/>
              <w:rPr>
                <w:noProof/>
                <w:lang w:eastAsia="ko-KR"/>
              </w:rPr>
            </w:pPr>
            <w:r w:rsidRPr="005174E9">
              <w:rPr>
                <w:noProof/>
                <w:lang w:eastAsia="ko-KR"/>
              </w:rPr>
              <w:t>NOTE 1:</w:t>
            </w:r>
            <w:r w:rsidRPr="005174E9">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p>
          <w:p w14:paraId="69BBF6D4" w14:textId="77777777" w:rsidR="002624F2" w:rsidRPr="005174E9" w:rsidRDefault="002624F2" w:rsidP="002624F2">
            <w:pPr>
              <w:pStyle w:val="B1"/>
              <w:rPr>
                <w:noProof/>
              </w:rPr>
            </w:pPr>
            <w:r w:rsidRPr="005174E9">
              <w:rPr>
                <w:noProof/>
              </w:rPr>
              <w:t>-</w:t>
            </w:r>
            <w:r w:rsidRPr="005174E9">
              <w:rPr>
                <w:noProof/>
              </w:rPr>
              <w:tab/>
            </w:r>
            <w:r w:rsidRPr="005174E9">
              <w:rPr>
                <w:i/>
                <w:noProof/>
              </w:rPr>
              <w:t>p</w:t>
            </w:r>
            <w:r w:rsidRPr="005174E9">
              <w:rPr>
                <w:i/>
                <w:noProof/>
                <w:lang w:eastAsia="ko-KR"/>
              </w:rPr>
              <w:t>hr-P</w:t>
            </w:r>
            <w:r w:rsidRPr="005174E9">
              <w:rPr>
                <w:i/>
                <w:noProof/>
              </w:rPr>
              <w:t>eriodicTimer</w:t>
            </w:r>
            <w:r w:rsidRPr="005174E9">
              <w:rPr>
                <w:noProof/>
              </w:rPr>
              <w:t xml:space="preserve"> expires;</w:t>
            </w:r>
          </w:p>
          <w:p w14:paraId="6AF90B17" w14:textId="77777777" w:rsidR="002624F2" w:rsidRPr="005174E9" w:rsidRDefault="002624F2" w:rsidP="002624F2">
            <w:pPr>
              <w:pStyle w:val="B1"/>
              <w:rPr>
                <w:noProof/>
              </w:rPr>
            </w:pPr>
            <w:r w:rsidRPr="005174E9">
              <w:rPr>
                <w:noProof/>
              </w:rPr>
              <w:t>-</w:t>
            </w:r>
            <w:r w:rsidRPr="005174E9">
              <w:rPr>
                <w:noProof/>
              </w:rPr>
              <w:tab/>
              <w:t>upon configuration or reconfiguration of the power headroom reporting functionality by upper layers, which is not used to disable the function;</w:t>
            </w:r>
          </w:p>
          <w:p w14:paraId="6F2B56A8" w14:textId="77777777" w:rsidR="002624F2" w:rsidRPr="005174E9" w:rsidRDefault="002624F2" w:rsidP="002624F2">
            <w:pPr>
              <w:pStyle w:val="B1"/>
              <w:rPr>
                <w:noProof/>
              </w:rPr>
            </w:pPr>
            <w:r w:rsidRPr="005174E9">
              <w:rPr>
                <w:noProof/>
              </w:rPr>
              <w:t>-</w:t>
            </w:r>
            <w:r w:rsidRPr="005174E9">
              <w:rPr>
                <w:noProof/>
              </w:rPr>
              <w:tab/>
              <w:t>activation of an SCell of any MAC entity with configured uplink</w:t>
            </w:r>
            <w:r w:rsidRPr="005174E9">
              <w:rPr>
                <w:noProof/>
                <w:lang w:eastAsia="zh-TW"/>
              </w:rPr>
              <w:t>;</w:t>
            </w:r>
          </w:p>
          <w:p w14:paraId="6CA85B0C" w14:textId="77777777" w:rsidR="002624F2" w:rsidRPr="005174E9" w:rsidRDefault="002624F2" w:rsidP="002624F2">
            <w:pPr>
              <w:pStyle w:val="B1"/>
              <w:rPr>
                <w:noProof/>
              </w:rPr>
            </w:pPr>
            <w:r w:rsidRPr="005174E9">
              <w:rPr>
                <w:noProof/>
              </w:rPr>
              <w:t>-</w:t>
            </w:r>
            <w:r w:rsidRPr="005174E9">
              <w:rPr>
                <w:noProof/>
              </w:rPr>
              <w:tab/>
              <w:t>addition of the PSCell (i.e. PSCell is newly added or changed)</w:t>
            </w:r>
            <w:r w:rsidRPr="005174E9">
              <w:rPr>
                <w:noProof/>
                <w:lang w:eastAsia="zh-TW"/>
              </w:rPr>
              <w:t>;</w:t>
            </w:r>
          </w:p>
          <w:p w14:paraId="11B9CA7B" w14:textId="77777777" w:rsidR="002624F2" w:rsidRPr="005174E9" w:rsidRDefault="002624F2" w:rsidP="002624F2">
            <w:pPr>
              <w:pStyle w:val="B1"/>
              <w:rPr>
                <w:noProof/>
              </w:rPr>
            </w:pPr>
            <w:r w:rsidRPr="005174E9">
              <w:rPr>
                <w:noProof/>
              </w:rPr>
              <w:t>-</w:t>
            </w:r>
            <w:r w:rsidRPr="005174E9">
              <w:rPr>
                <w:noProof/>
              </w:rPr>
              <w:tab/>
            </w:r>
            <w:r w:rsidRPr="002624F2">
              <w:rPr>
                <w:i/>
                <w:noProof/>
                <w:highlight w:val="yellow"/>
              </w:rPr>
              <w:t>p</w:t>
            </w:r>
            <w:r w:rsidRPr="002624F2">
              <w:rPr>
                <w:i/>
                <w:noProof/>
                <w:highlight w:val="yellow"/>
                <w:lang w:eastAsia="ko-KR"/>
              </w:rPr>
              <w:t>hr-P</w:t>
            </w:r>
            <w:r w:rsidRPr="002624F2">
              <w:rPr>
                <w:i/>
                <w:noProof/>
                <w:highlight w:val="yellow"/>
              </w:rPr>
              <w:t>rohibitTimer</w:t>
            </w:r>
            <w:r w:rsidRPr="002624F2">
              <w:rPr>
                <w:noProof/>
                <w:highlight w:val="yellow"/>
              </w:rPr>
              <w:t xml:space="preserve"> expires or has expired, when the MAC entity has UL resources for new transmission, and the following is true for any of the activated Serving Cells of any MAC entity with configured uplink</w:t>
            </w:r>
            <w:r w:rsidRPr="005174E9">
              <w:rPr>
                <w:noProof/>
              </w:rPr>
              <w:t>:</w:t>
            </w:r>
          </w:p>
          <w:p w14:paraId="60E45024" w14:textId="3673FF55" w:rsidR="002624F2" w:rsidRDefault="002624F2" w:rsidP="002624F2">
            <w:pPr>
              <w:pStyle w:val="B2"/>
              <w:rPr>
                <w:noProof/>
              </w:rPr>
            </w:pPr>
            <w:r w:rsidRPr="005174E9">
              <w:rPr>
                <w:noProof/>
              </w:rPr>
              <w:t>-</w:t>
            </w:r>
            <w:r w:rsidRPr="005174E9">
              <w:rPr>
                <w:noProof/>
              </w:rPr>
              <w:tab/>
            </w:r>
            <w:r w:rsidRPr="002624F2">
              <w:rPr>
                <w:noProof/>
                <w:highlight w:val="yellow"/>
              </w:rPr>
              <w:t xml:space="preserve">there are UL resources allocated for transmission or there is a PUCCH transmission on this cell, and </w:t>
            </w:r>
            <w:r w:rsidRPr="00FB4534">
              <w:rPr>
                <w:noProof/>
                <w:color w:val="FF0000"/>
                <w:highlight w:val="yellow"/>
              </w:rPr>
              <w:t>the required power backoff</w:t>
            </w:r>
            <w:r w:rsidRPr="002624F2">
              <w:rPr>
                <w:noProof/>
                <w:highlight w:val="yellow"/>
              </w:rPr>
              <w:t xml:space="preserve"> due to power management (as allowed by P-MPR</w:t>
            </w:r>
            <w:r w:rsidRPr="002624F2">
              <w:rPr>
                <w:noProof/>
                <w:highlight w:val="yellow"/>
                <w:vertAlign w:val="subscript"/>
              </w:rPr>
              <w:t>c</w:t>
            </w:r>
            <w:r w:rsidRPr="002624F2">
              <w:rPr>
                <w:noProof/>
                <w:highlight w:val="yellow"/>
              </w:rPr>
              <w:t xml:space="preserve"> </w:t>
            </w:r>
            <w:r w:rsidRPr="002624F2">
              <w:rPr>
                <w:noProof/>
                <w:highlight w:val="yellow"/>
                <w:lang w:eastAsia="ko-KR"/>
              </w:rPr>
              <w:t xml:space="preserve">as specified in TS 38.101-1 </w:t>
            </w:r>
            <w:r w:rsidRPr="002624F2">
              <w:rPr>
                <w:noProof/>
                <w:highlight w:val="yellow"/>
              </w:rPr>
              <w:t>[</w:t>
            </w:r>
            <w:r w:rsidRPr="002624F2">
              <w:rPr>
                <w:noProof/>
                <w:highlight w:val="yellow"/>
                <w:lang w:eastAsia="ko-KR"/>
              </w:rPr>
              <w:t>14</w:t>
            </w:r>
            <w:r w:rsidRPr="002624F2">
              <w:rPr>
                <w:noProof/>
                <w:highlight w:val="yellow"/>
              </w:rPr>
              <w:t xml:space="preserve">], TS 38.101-2 [15], and TS 38.101-3 [16]) for this </w:t>
            </w:r>
            <w:r w:rsidRPr="002624F2">
              <w:rPr>
                <w:noProof/>
                <w:highlight w:val="yellow"/>
              </w:rPr>
              <w:lastRenderedPageBreak/>
              <w:t xml:space="preserve">cell </w:t>
            </w:r>
            <w:r w:rsidRPr="00FB4534">
              <w:rPr>
                <w:noProof/>
                <w:color w:val="FF0000"/>
                <w:highlight w:val="yellow"/>
              </w:rPr>
              <w:t xml:space="preserve">has changed more than </w:t>
            </w:r>
            <w:r w:rsidRPr="00FB4534">
              <w:rPr>
                <w:i/>
                <w:noProof/>
                <w:color w:val="FF0000"/>
                <w:highlight w:val="yellow"/>
              </w:rPr>
              <w:t>phr-Tx-PowerFactorChange</w:t>
            </w:r>
            <w:r w:rsidRPr="00FB4534">
              <w:rPr>
                <w:noProof/>
                <w:color w:val="FF0000"/>
                <w:highlight w:val="yellow"/>
              </w:rPr>
              <w:t xml:space="preserve"> dB</w:t>
            </w:r>
            <w:r w:rsidRPr="002624F2">
              <w:rPr>
                <w:noProof/>
                <w:highlight w:val="yellow"/>
              </w:rPr>
              <w:t xml:space="preserve"> since the last transmission of a PHR when the MAC entity had UL resources allocated for transmission or PUCCH transmission on this cell</w:t>
            </w:r>
            <w:r w:rsidRPr="005174E9">
              <w:rPr>
                <w:noProof/>
              </w:rPr>
              <w:t>.</w:t>
            </w:r>
          </w:p>
        </w:tc>
      </w:tr>
    </w:tbl>
    <w:p w14:paraId="250852D4" w14:textId="1B173A05" w:rsidR="002624F2" w:rsidRDefault="002624F2" w:rsidP="003B64BB"/>
    <w:p w14:paraId="651998FF" w14:textId="7EFF5BFF" w:rsidR="002624F2" w:rsidRDefault="002624F2" w:rsidP="002624F2">
      <w:pPr>
        <w:pStyle w:val="Observation"/>
      </w:pPr>
      <w:bookmarkStart w:id="2" w:name="_Toc40946702"/>
      <w:r>
        <w:t xml:space="preserve">Current specification makes a UE trigger a PHR MAC CE if the </w:t>
      </w:r>
      <w:proofErr w:type="spellStart"/>
      <w:r>
        <w:t>backoff</w:t>
      </w:r>
      <w:proofErr w:type="spellEnd"/>
      <w:r>
        <w:t xml:space="preserve"> exceeds a network configured threshold (namely </w:t>
      </w:r>
      <w:proofErr w:type="spellStart"/>
      <w:r w:rsidRPr="002624F2">
        <w:rPr>
          <w:i/>
          <w:iCs/>
        </w:rPr>
        <w:t>phr</w:t>
      </w:r>
      <w:proofErr w:type="spellEnd"/>
      <w:r w:rsidRPr="002624F2">
        <w:rPr>
          <w:i/>
          <w:iCs/>
        </w:rPr>
        <w:t>-Tx-</w:t>
      </w:r>
      <w:proofErr w:type="spellStart"/>
      <w:r w:rsidRPr="002624F2">
        <w:rPr>
          <w:i/>
          <w:iCs/>
        </w:rPr>
        <w:t>PowerFactorChange</w:t>
      </w:r>
      <w:proofErr w:type="spellEnd"/>
      <w:r>
        <w:t>).</w:t>
      </w:r>
      <w:bookmarkEnd w:id="2"/>
    </w:p>
    <w:p w14:paraId="227075B0" w14:textId="77777777" w:rsidR="00666DAB" w:rsidRDefault="00666DAB" w:rsidP="003B64BB"/>
    <w:p w14:paraId="68B12FCE" w14:textId="1D769F10" w:rsidR="002624F2" w:rsidRDefault="002624F2" w:rsidP="003103E1">
      <w:pPr>
        <w:pStyle w:val="BodyText"/>
      </w:pPr>
      <w:r>
        <w:t xml:space="preserve">Based on the above, it seems that if RAN4 would agree that 2 bits for MPE reporting is </w:t>
      </w:r>
      <w:r w:rsidR="0058678E">
        <w:t>enough</w:t>
      </w:r>
      <w:r>
        <w:t>, RAN2 can reuse the PHR MAC CE for MPE reporting.</w:t>
      </w:r>
    </w:p>
    <w:p w14:paraId="04C79334" w14:textId="69287AE0" w:rsidR="002624F2" w:rsidRDefault="00666DAB" w:rsidP="00666DAB">
      <w:pPr>
        <w:pStyle w:val="Proposal"/>
      </w:pPr>
      <w:bookmarkStart w:id="3" w:name="_Toc40946703"/>
      <w:r>
        <w:t xml:space="preserve">If RAN4 agrees to that 2 bits is </w:t>
      </w:r>
      <w:r w:rsidR="00D51D89">
        <w:t>enough</w:t>
      </w:r>
      <w:r>
        <w:t xml:space="preserve"> for MPE reporting, RAN2 will reuse the PHR MAC CE for this reporting.</w:t>
      </w:r>
      <w:bookmarkEnd w:id="3"/>
    </w:p>
    <w:p w14:paraId="475FEFAC" w14:textId="77777777" w:rsidR="00FB4534" w:rsidRDefault="00FB4534" w:rsidP="003B64BB">
      <w:pPr>
        <w:rPr>
          <w:rFonts w:ascii="Arial" w:hAnsi="Arial"/>
          <w:lang w:eastAsia="zh-CN"/>
        </w:rPr>
      </w:pPr>
    </w:p>
    <w:p w14:paraId="0C1812CA" w14:textId="5EF7114F" w:rsidR="002624F2" w:rsidRPr="00EB1C21" w:rsidRDefault="00EB1C21" w:rsidP="003B64BB">
      <w:pPr>
        <w:rPr>
          <w:rFonts w:ascii="Arial" w:hAnsi="Arial"/>
          <w:lang w:eastAsia="zh-CN"/>
        </w:rPr>
      </w:pPr>
      <w:r w:rsidRPr="00EB1C21">
        <w:rPr>
          <w:rFonts w:ascii="Arial" w:hAnsi="Arial"/>
          <w:lang w:eastAsia="zh-CN"/>
        </w:rPr>
        <w:t>The following CRs implement the above:</w:t>
      </w:r>
    </w:p>
    <w:p w14:paraId="3AE53B5A" w14:textId="0CDB28B2" w:rsidR="00EB1C21" w:rsidRDefault="00EB1C21" w:rsidP="00EB1C21">
      <w:pPr>
        <w:pStyle w:val="ListParagraph"/>
        <w:numPr>
          <w:ilvl w:val="0"/>
          <w:numId w:val="26"/>
        </w:numPr>
      </w:pPr>
      <w:r w:rsidRPr="00EB1C21">
        <w:t>R2-2004936</w:t>
      </w:r>
      <w:r>
        <w:t xml:space="preserve"> (38.321)</w:t>
      </w:r>
    </w:p>
    <w:p w14:paraId="79CE3A9F" w14:textId="77777777" w:rsidR="00EB1C21" w:rsidRDefault="00EB1C21" w:rsidP="00EB1C21">
      <w:pPr>
        <w:pStyle w:val="ListParagraph"/>
        <w:numPr>
          <w:ilvl w:val="0"/>
          <w:numId w:val="26"/>
        </w:numPr>
      </w:pPr>
      <w:r>
        <w:t>R2-2004938</w:t>
      </w:r>
      <w:r>
        <w:t xml:space="preserve"> (38.331)</w:t>
      </w:r>
    </w:p>
    <w:p w14:paraId="75A8C290" w14:textId="09EE4C4A" w:rsidR="00EB1C21" w:rsidRDefault="00EB1C21" w:rsidP="00EB1C21">
      <w:pPr>
        <w:pStyle w:val="ListParagraph"/>
        <w:numPr>
          <w:ilvl w:val="0"/>
          <w:numId w:val="26"/>
        </w:numPr>
      </w:pPr>
      <w:r w:rsidRPr="00EB1C21">
        <w:t>R2-2004939</w:t>
      </w:r>
      <w:r>
        <w:t xml:space="preserve"> (38.306)</w:t>
      </w:r>
    </w:p>
    <w:p w14:paraId="2CFA188D" w14:textId="77777777" w:rsidR="00EB1C21" w:rsidRDefault="00EB1C21" w:rsidP="003B64BB"/>
    <w:p w14:paraId="7ACC54FB" w14:textId="33FB57A1" w:rsidR="00C01F33" w:rsidRPr="00CE0424" w:rsidRDefault="00F354CB" w:rsidP="00CE0424">
      <w:pPr>
        <w:pStyle w:val="Heading1"/>
      </w:pPr>
      <w:r>
        <w:t>4</w:t>
      </w:r>
      <w:r>
        <w:tab/>
        <w:t>C</w:t>
      </w:r>
      <w:r w:rsidR="00C01F33" w:rsidRPr="00CE0424">
        <w:t>onclusion</w:t>
      </w:r>
    </w:p>
    <w:p w14:paraId="0BE514CD"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629B7F0" w14:textId="77777777" w:rsidR="00012206"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rPr>
        <w:fldChar w:fldCharType="begin"/>
      </w:r>
      <w:r>
        <w:rPr>
          <w:b w:val="0"/>
          <w:bCs/>
        </w:rPr>
        <w:instrText xml:space="preserve"> TOC \f O \n \h \z \t "Observation" \c </w:instrText>
      </w:r>
      <w:r>
        <w:rPr>
          <w:b w:val="0"/>
          <w:bCs/>
        </w:rPr>
        <w:fldChar w:fldCharType="separate"/>
      </w:r>
      <w:hyperlink w:anchor="_Toc40946701" w:history="1">
        <w:r w:rsidR="00012206" w:rsidRPr="00FC770B">
          <w:rPr>
            <w:rStyle w:val="Hyperlink"/>
            <w:noProof/>
          </w:rPr>
          <w:t>Observation 1</w:t>
        </w:r>
        <w:r w:rsidR="00012206">
          <w:rPr>
            <w:rFonts w:asciiTheme="minorHAnsi" w:eastAsiaTheme="minorEastAsia" w:hAnsiTheme="minorHAnsi" w:cstheme="minorBidi"/>
            <w:b w:val="0"/>
            <w:noProof/>
            <w:sz w:val="22"/>
            <w:szCs w:val="22"/>
            <w:lang w:eastAsia="en-GB"/>
          </w:rPr>
          <w:tab/>
        </w:r>
        <w:r w:rsidR="00012206" w:rsidRPr="00FC770B">
          <w:rPr>
            <w:rStyle w:val="Hyperlink"/>
            <w:noProof/>
          </w:rPr>
          <w:t>The PHR MAC CE could fit the MPE-report if it is 2 bits.</w:t>
        </w:r>
      </w:hyperlink>
    </w:p>
    <w:p w14:paraId="698254A4" w14:textId="77777777" w:rsidR="00012206" w:rsidRDefault="00012206">
      <w:pPr>
        <w:pStyle w:val="TableofFigures"/>
        <w:tabs>
          <w:tab w:val="right" w:leader="dot" w:pos="9629"/>
        </w:tabs>
        <w:rPr>
          <w:rFonts w:asciiTheme="minorHAnsi" w:eastAsiaTheme="minorEastAsia" w:hAnsiTheme="minorHAnsi" w:cstheme="minorBidi"/>
          <w:b w:val="0"/>
          <w:noProof/>
          <w:sz w:val="22"/>
          <w:szCs w:val="22"/>
          <w:lang w:eastAsia="en-GB"/>
        </w:rPr>
      </w:pPr>
      <w:hyperlink w:anchor="_Toc40946702" w:history="1">
        <w:r w:rsidRPr="00FC770B">
          <w:rPr>
            <w:rStyle w:val="Hyperlink"/>
            <w:noProof/>
          </w:rPr>
          <w:t>Observation 2</w:t>
        </w:r>
        <w:r>
          <w:rPr>
            <w:rFonts w:asciiTheme="minorHAnsi" w:eastAsiaTheme="minorEastAsia" w:hAnsiTheme="minorHAnsi" w:cstheme="minorBidi"/>
            <w:b w:val="0"/>
            <w:noProof/>
            <w:sz w:val="22"/>
            <w:szCs w:val="22"/>
            <w:lang w:eastAsia="en-GB"/>
          </w:rPr>
          <w:tab/>
        </w:r>
        <w:r w:rsidRPr="00FC770B">
          <w:rPr>
            <w:rStyle w:val="Hyperlink"/>
            <w:noProof/>
          </w:rPr>
          <w:t xml:space="preserve">Current specification makes a UE trigger a PHR MAC CE if the backoff exceeds a network configured threshold (namely </w:t>
        </w:r>
        <w:r w:rsidRPr="00FC770B">
          <w:rPr>
            <w:rStyle w:val="Hyperlink"/>
            <w:i/>
            <w:iCs/>
            <w:noProof/>
          </w:rPr>
          <w:t>phr-Tx-PowerFactorChange</w:t>
        </w:r>
        <w:r w:rsidRPr="00FC770B">
          <w:rPr>
            <w:rStyle w:val="Hyperlink"/>
            <w:noProof/>
          </w:rPr>
          <w:t>).</w:t>
        </w:r>
      </w:hyperlink>
    </w:p>
    <w:p w14:paraId="500C3CD8" w14:textId="6207F408" w:rsidR="006E1C82" w:rsidRDefault="006F6582" w:rsidP="008E065E">
      <w:pPr>
        <w:pStyle w:val="BodyText"/>
        <w:rPr>
          <w:b/>
          <w:bCs/>
        </w:rPr>
      </w:pPr>
      <w:r>
        <w:rPr>
          <w:b/>
          <w:bCs/>
        </w:rPr>
        <w:fldChar w:fldCharType="end"/>
      </w:r>
    </w:p>
    <w:p w14:paraId="56781F79"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786D50C" w14:textId="77777777" w:rsidR="00012206"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0946703" w:history="1">
        <w:r w:rsidR="00012206" w:rsidRPr="002A56EB">
          <w:rPr>
            <w:rStyle w:val="Hyperlink"/>
            <w:noProof/>
          </w:rPr>
          <w:t>Proposal 1</w:t>
        </w:r>
        <w:r w:rsidR="00012206">
          <w:rPr>
            <w:rFonts w:asciiTheme="minorHAnsi" w:eastAsiaTheme="minorEastAsia" w:hAnsiTheme="minorHAnsi" w:cstheme="minorBidi"/>
            <w:b w:val="0"/>
            <w:noProof/>
            <w:sz w:val="22"/>
            <w:szCs w:val="22"/>
            <w:lang w:eastAsia="en-GB"/>
          </w:rPr>
          <w:tab/>
        </w:r>
        <w:r w:rsidR="00012206" w:rsidRPr="002A56EB">
          <w:rPr>
            <w:rStyle w:val="Hyperlink"/>
            <w:noProof/>
          </w:rPr>
          <w:t>If RAN4 agrees to that 2 bits is enough for MPE reporting, RAN2 will reuse the PHR MAC CE for this reporting.</w:t>
        </w:r>
      </w:hyperlink>
    </w:p>
    <w:p w14:paraId="46238FBE" w14:textId="323788C6" w:rsidR="006E1C82" w:rsidRPr="00CE0424" w:rsidRDefault="006E1C82" w:rsidP="006E1C82">
      <w:pPr>
        <w:pStyle w:val="BodyText"/>
        <w:rPr>
          <w:b/>
          <w:bCs/>
        </w:rPr>
      </w:pPr>
      <w:r>
        <w:rPr>
          <w:b/>
          <w:bCs/>
          <w:lang w:val="en-US"/>
        </w:rPr>
        <w:fldChar w:fldCharType="end"/>
      </w:r>
      <w:r w:rsidRPr="00CE0424">
        <w:rPr>
          <w:b/>
          <w:bCs/>
        </w:rPr>
        <w:t xml:space="preserve"> </w:t>
      </w:r>
      <w:bookmarkStart w:id="4" w:name="_GoBack"/>
      <w:bookmarkEnd w:id="4"/>
    </w:p>
    <w:sectPr w:rsidR="006E1C82" w:rsidRPr="00CE0424"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8D30F3" w14:textId="77777777" w:rsidR="000F7577" w:rsidRDefault="000F7577">
      <w:r>
        <w:separator/>
      </w:r>
    </w:p>
  </w:endnote>
  <w:endnote w:type="continuationSeparator" w:id="0">
    <w:p w14:paraId="1B1DAE4F" w14:textId="77777777" w:rsidR="000F7577" w:rsidRDefault="000F7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49AFD6"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327708" w14:textId="77777777" w:rsidR="000F7577" w:rsidRDefault="000F7577">
      <w:r>
        <w:separator/>
      </w:r>
    </w:p>
  </w:footnote>
  <w:footnote w:type="continuationSeparator" w:id="0">
    <w:p w14:paraId="1C58C0A9" w14:textId="77777777" w:rsidR="000F7577" w:rsidRDefault="000F75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492B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5F16B6D"/>
    <w:multiLevelType w:val="hybridMultilevel"/>
    <w:tmpl w:val="2946CB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8BD0886"/>
    <w:multiLevelType w:val="hybridMultilevel"/>
    <w:tmpl w:val="6ED0A7C4"/>
    <w:lvl w:ilvl="0" w:tplc="BA4457E0">
      <w:start w:val="1"/>
      <w:numFmt w:val="bullet"/>
      <w:lvlText w:val="•"/>
      <w:lvlJc w:val="left"/>
      <w:pPr>
        <w:tabs>
          <w:tab w:val="num" w:pos="720"/>
        </w:tabs>
        <w:ind w:left="720" w:hanging="360"/>
      </w:pPr>
      <w:rPr>
        <w:rFonts w:ascii="Arial" w:hAnsi="Arial" w:hint="default"/>
      </w:rPr>
    </w:lvl>
    <w:lvl w:ilvl="1" w:tplc="8F74C204">
      <w:start w:val="82"/>
      <w:numFmt w:val="bullet"/>
      <w:lvlText w:val="•"/>
      <w:lvlJc w:val="left"/>
      <w:pPr>
        <w:tabs>
          <w:tab w:val="num" w:pos="1440"/>
        </w:tabs>
        <w:ind w:left="1440" w:hanging="360"/>
      </w:pPr>
      <w:rPr>
        <w:rFonts w:ascii="Arial" w:hAnsi="Arial" w:hint="default"/>
      </w:rPr>
    </w:lvl>
    <w:lvl w:ilvl="2" w:tplc="A5A8A794">
      <w:start w:val="82"/>
      <w:numFmt w:val="bullet"/>
      <w:lvlText w:val="•"/>
      <w:lvlJc w:val="left"/>
      <w:pPr>
        <w:tabs>
          <w:tab w:val="num" w:pos="2160"/>
        </w:tabs>
        <w:ind w:left="2160" w:hanging="360"/>
      </w:pPr>
      <w:rPr>
        <w:rFonts w:ascii="Arial" w:hAnsi="Arial" w:hint="default"/>
      </w:rPr>
    </w:lvl>
    <w:lvl w:ilvl="3" w:tplc="6366A496" w:tentative="1">
      <w:start w:val="1"/>
      <w:numFmt w:val="bullet"/>
      <w:lvlText w:val="•"/>
      <w:lvlJc w:val="left"/>
      <w:pPr>
        <w:tabs>
          <w:tab w:val="num" w:pos="2880"/>
        </w:tabs>
        <w:ind w:left="2880" w:hanging="360"/>
      </w:pPr>
      <w:rPr>
        <w:rFonts w:ascii="Arial" w:hAnsi="Arial" w:hint="default"/>
      </w:rPr>
    </w:lvl>
    <w:lvl w:ilvl="4" w:tplc="9EA81598" w:tentative="1">
      <w:start w:val="1"/>
      <w:numFmt w:val="bullet"/>
      <w:lvlText w:val="•"/>
      <w:lvlJc w:val="left"/>
      <w:pPr>
        <w:tabs>
          <w:tab w:val="num" w:pos="3600"/>
        </w:tabs>
        <w:ind w:left="3600" w:hanging="360"/>
      </w:pPr>
      <w:rPr>
        <w:rFonts w:ascii="Arial" w:hAnsi="Arial" w:hint="default"/>
      </w:rPr>
    </w:lvl>
    <w:lvl w:ilvl="5" w:tplc="B104994C" w:tentative="1">
      <w:start w:val="1"/>
      <w:numFmt w:val="bullet"/>
      <w:lvlText w:val="•"/>
      <w:lvlJc w:val="left"/>
      <w:pPr>
        <w:tabs>
          <w:tab w:val="num" w:pos="4320"/>
        </w:tabs>
        <w:ind w:left="4320" w:hanging="360"/>
      </w:pPr>
      <w:rPr>
        <w:rFonts w:ascii="Arial" w:hAnsi="Arial" w:hint="default"/>
      </w:rPr>
    </w:lvl>
    <w:lvl w:ilvl="6" w:tplc="71D438E4" w:tentative="1">
      <w:start w:val="1"/>
      <w:numFmt w:val="bullet"/>
      <w:lvlText w:val="•"/>
      <w:lvlJc w:val="left"/>
      <w:pPr>
        <w:tabs>
          <w:tab w:val="num" w:pos="5040"/>
        </w:tabs>
        <w:ind w:left="5040" w:hanging="360"/>
      </w:pPr>
      <w:rPr>
        <w:rFonts w:ascii="Arial" w:hAnsi="Arial" w:hint="default"/>
      </w:rPr>
    </w:lvl>
    <w:lvl w:ilvl="7" w:tplc="E8188338" w:tentative="1">
      <w:start w:val="1"/>
      <w:numFmt w:val="bullet"/>
      <w:lvlText w:val="•"/>
      <w:lvlJc w:val="left"/>
      <w:pPr>
        <w:tabs>
          <w:tab w:val="num" w:pos="5760"/>
        </w:tabs>
        <w:ind w:left="5760" w:hanging="360"/>
      </w:pPr>
      <w:rPr>
        <w:rFonts w:ascii="Arial" w:hAnsi="Arial" w:hint="default"/>
      </w:rPr>
    </w:lvl>
    <w:lvl w:ilvl="8" w:tplc="8EB2DED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0A40F9"/>
    <w:multiLevelType w:val="hybridMultilevel"/>
    <w:tmpl w:val="8D30D7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4"/>
  </w:num>
  <w:num w:numId="4">
    <w:abstractNumId w:val="15"/>
  </w:num>
  <w:num w:numId="5">
    <w:abstractNumId w:val="11"/>
  </w:num>
  <w:num w:numId="6">
    <w:abstractNumId w:val="17"/>
  </w:num>
  <w:num w:numId="7">
    <w:abstractNumId w:val="22"/>
  </w:num>
  <w:num w:numId="8">
    <w:abstractNumId w:val="12"/>
  </w:num>
  <w:num w:numId="9">
    <w:abstractNumId w:val="10"/>
  </w:num>
  <w:num w:numId="10">
    <w:abstractNumId w:val="2"/>
  </w:num>
  <w:num w:numId="11">
    <w:abstractNumId w:val="1"/>
  </w:num>
  <w:num w:numId="12">
    <w:abstractNumId w:val="0"/>
  </w:num>
  <w:num w:numId="13">
    <w:abstractNumId w:val="20"/>
  </w:num>
  <w:num w:numId="14">
    <w:abstractNumId w:val="21"/>
  </w:num>
  <w:num w:numId="15">
    <w:abstractNumId w:val="16"/>
  </w:num>
  <w:num w:numId="16">
    <w:abstractNumId w:val="23"/>
  </w:num>
  <w:num w:numId="17">
    <w:abstractNumId w:val="7"/>
  </w:num>
  <w:num w:numId="18">
    <w:abstractNumId w:val="8"/>
  </w:num>
  <w:num w:numId="19">
    <w:abstractNumId w:val="5"/>
  </w:num>
  <w:num w:numId="20">
    <w:abstractNumId w:val="25"/>
  </w:num>
  <w:num w:numId="21">
    <w:abstractNumId w:val="13"/>
  </w:num>
  <w:num w:numId="22">
    <w:abstractNumId w:val="24"/>
  </w:num>
  <w:num w:numId="23">
    <w:abstractNumId w:val="9"/>
  </w:num>
  <w:num w:numId="24">
    <w:abstractNumId w:val="18"/>
  </w:num>
  <w:num w:numId="25">
    <w:abstractNumId w:val="4"/>
  </w:num>
  <w:num w:numId="2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7577"/>
    <w:rsid w:val="000006E1"/>
    <w:rsid w:val="00002A37"/>
    <w:rsid w:val="0000564C"/>
    <w:rsid w:val="00006446"/>
    <w:rsid w:val="00006896"/>
    <w:rsid w:val="00007CDC"/>
    <w:rsid w:val="00011B28"/>
    <w:rsid w:val="00012206"/>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0F7577"/>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A712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24F2"/>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03E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0253"/>
    <w:rsid w:val="00572505"/>
    <w:rsid w:val="00582809"/>
    <w:rsid w:val="0058678E"/>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6DAB"/>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161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B71C7"/>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0229"/>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3AF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3A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1478"/>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0B4E"/>
    <w:rsid w:val="00D4318F"/>
    <w:rsid w:val="00D438BF"/>
    <w:rsid w:val="00D440F8"/>
    <w:rsid w:val="00D51D89"/>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24212"/>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1C21"/>
    <w:rsid w:val="00EB4EA2"/>
    <w:rsid w:val="00EC24D5"/>
    <w:rsid w:val="00EC27C6"/>
    <w:rsid w:val="00EC4207"/>
    <w:rsid w:val="00EC5653"/>
    <w:rsid w:val="00EC71CE"/>
    <w:rsid w:val="00ED1006"/>
    <w:rsid w:val="00EF18FE"/>
    <w:rsid w:val="00EF5787"/>
    <w:rsid w:val="00EF60D0"/>
    <w:rsid w:val="00F04885"/>
    <w:rsid w:val="00F0528D"/>
    <w:rsid w:val="00F06C67"/>
    <w:rsid w:val="00F06DFD"/>
    <w:rsid w:val="00F071D1"/>
    <w:rsid w:val="00F07533"/>
    <w:rsid w:val="00F10629"/>
    <w:rsid w:val="00F15FA5"/>
    <w:rsid w:val="00F209B7"/>
    <w:rsid w:val="00F20F5C"/>
    <w:rsid w:val="00F2376F"/>
    <w:rsid w:val="00F243D8"/>
    <w:rsid w:val="00F30828"/>
    <w:rsid w:val="00F313D6"/>
    <w:rsid w:val="00F354CB"/>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97E75"/>
    <w:rsid w:val="00FA2BB3"/>
    <w:rsid w:val="00FB4534"/>
    <w:rsid w:val="00FB4C80"/>
    <w:rsid w:val="00FB6A6A"/>
    <w:rsid w:val="00FC7429"/>
    <w:rsid w:val="00FD01AC"/>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64715AD5"/>
  <w15:chartTrackingRefBased/>
  <w15:docId w15:val="{93ACF15E-9D9A-4387-9AD7-BB8973B9A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rsid w:val="002624F2"/>
    <w:rPr>
      <w:lang w:val="en-GB" w:eastAsia="en-US"/>
    </w:rPr>
  </w:style>
  <w:style w:type="paragraph" w:customStyle="1" w:styleId="Pb">
    <w:name w:val="Pb"/>
    <w:basedOn w:val="Normal"/>
    <w:qFormat/>
    <w:rsid w:val="00262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2804505">
      <w:bodyDiv w:val="1"/>
      <w:marLeft w:val="0"/>
      <w:marRight w:val="0"/>
      <w:marTop w:val="0"/>
      <w:marBottom w:val="0"/>
      <w:divBdr>
        <w:top w:val="none" w:sz="0" w:space="0" w:color="auto"/>
        <w:left w:val="none" w:sz="0" w:space="0" w:color="auto"/>
        <w:bottom w:val="none" w:sz="0" w:space="0" w:color="auto"/>
        <w:right w:val="none" w:sz="0" w:space="0" w:color="auto"/>
      </w:divBdr>
    </w:div>
    <w:div w:id="1851680373">
      <w:bodyDiv w:val="1"/>
      <w:marLeft w:val="0"/>
      <w:marRight w:val="0"/>
      <w:marTop w:val="0"/>
      <w:marBottom w:val="0"/>
      <w:divBdr>
        <w:top w:val="none" w:sz="0" w:space="0" w:color="auto"/>
        <w:left w:val="none" w:sz="0" w:space="0" w:color="auto"/>
        <w:bottom w:val="none" w:sz="0" w:space="0" w:color="auto"/>
        <w:right w:val="none" w:sz="0" w:space="0" w:color="auto"/>
      </w:divBdr>
    </w:div>
    <w:div w:id="188562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0CB4069A-FDC0-4BB3-B036-C4B8D90491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9F10FD16-28D3-4178-85EF-B4DB20A14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4</Pages>
  <Words>1081</Words>
  <Characters>5435</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6503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Mattias</cp:lastModifiedBy>
  <cp:revision>21</cp:revision>
  <cp:lastPrinted>2008-01-31T07:09:00Z</cp:lastPrinted>
  <dcterms:created xsi:type="dcterms:W3CDTF">2020-05-18T18:05:00Z</dcterms:created>
  <dcterms:modified xsi:type="dcterms:W3CDTF">2020-05-21T07:44:00Z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